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183D5" w14:textId="2757A7A6" w:rsidR="00C809D0" w:rsidRDefault="00A72523">
      <w:bookmarkStart w:id="0" w:name="_GoBack"/>
      <w:bookmarkEnd w:id="0"/>
      <w:r>
        <w:t>CFSD has</w:t>
      </w:r>
      <w:r w:rsidR="00E869EC">
        <w:t xml:space="preserve"> been closely following the </w:t>
      </w:r>
      <w:r w:rsidR="00C10B7C">
        <w:t>planned</w:t>
      </w:r>
      <w:r w:rsidR="00E869EC">
        <w:t xml:space="preserve"> replacement of the iconic LIBOR financial benchmark for liquidity facilities with a new benchmark, the </w:t>
      </w:r>
      <w:r w:rsidR="00E869EC" w:rsidRPr="003200B9">
        <w:rPr>
          <w:b/>
          <w:bCs/>
        </w:rPr>
        <w:t>Secured Overnight Finance Rate or SOFR</w:t>
      </w:r>
      <w:r w:rsidR="00E869EC">
        <w:t xml:space="preserve">. </w:t>
      </w:r>
      <w:r w:rsidR="00C10B7C">
        <w:t>The transition to SOFR is under the auspices of the Alternate Rate Replacement Committee (ARRC)</w:t>
      </w:r>
      <w:r w:rsidR="00C809D0">
        <w:t>, which is</w:t>
      </w:r>
      <w:r w:rsidR="00C10B7C">
        <w:t xml:space="preserve"> </w:t>
      </w:r>
      <w:r w:rsidR="003200B9">
        <w:t xml:space="preserve">primarily </w:t>
      </w:r>
      <w:r w:rsidR="00C10B7C" w:rsidRPr="003200B9">
        <w:t>comprise</w:t>
      </w:r>
      <w:r w:rsidR="003200B9" w:rsidRPr="003200B9">
        <w:t xml:space="preserve">d of </w:t>
      </w:r>
      <w:r w:rsidR="00C10B7C" w:rsidRPr="003200B9">
        <w:t>federal banking authorities and global banks and their counsel. As our client</w:t>
      </w:r>
      <w:r w:rsidR="00C10B7C">
        <w:t xml:space="preserve"> base is </w:t>
      </w:r>
      <w:r w:rsidR="00174EB4">
        <w:t xml:space="preserve">exclusively </w:t>
      </w:r>
      <w:r w:rsidR="00C10B7C">
        <w:t>utility borrowers and their other corporate entities, we are looking at these developments from the borrowers’ point of view.</w:t>
      </w:r>
      <w:r w:rsidR="0098140A">
        <w:t xml:space="preserve">  </w:t>
      </w:r>
      <w:r w:rsidR="00C809D0">
        <w:t>Some basic points</w:t>
      </w:r>
      <w:r w:rsidR="0098140A">
        <w:t xml:space="preserve"> about SOFR:</w:t>
      </w:r>
    </w:p>
    <w:p w14:paraId="7FBBE6C2" w14:textId="3012A2E3" w:rsidR="0098140A" w:rsidRDefault="003200B9" w:rsidP="003200B9">
      <w:pPr>
        <w:pStyle w:val="ListParagraph"/>
        <w:numPr>
          <w:ilvl w:val="0"/>
          <w:numId w:val="1"/>
        </w:numPr>
      </w:pPr>
      <w:r>
        <w:t xml:space="preserve">The ARRC is encouraging </w:t>
      </w:r>
      <w:r w:rsidR="0098140A">
        <w:t xml:space="preserve">transition to SOFR </w:t>
      </w:r>
      <w:r w:rsidR="008F081C">
        <w:t>within the next few years</w:t>
      </w:r>
      <w:r>
        <w:t>, and some banks and their clients have already begun using variations of the new rate</w:t>
      </w:r>
      <w:r w:rsidR="008F081C">
        <w:t xml:space="preserve"> formula</w:t>
      </w:r>
      <w:r w:rsidR="0098140A">
        <w:t>.</w:t>
      </w:r>
    </w:p>
    <w:p w14:paraId="6C98CDD8" w14:textId="1C30290C" w:rsidR="0098140A" w:rsidRDefault="0098140A" w:rsidP="003200B9">
      <w:pPr>
        <w:pStyle w:val="ListParagraph"/>
        <w:numPr>
          <w:ilvl w:val="0"/>
          <w:numId w:val="1"/>
        </w:numPr>
      </w:pPr>
      <w:r>
        <w:t>The ARRC has determined that most existing contracts for cash products referencing LIBOR don’t provide for the cessation of LIBOR in practical terms</w:t>
      </w:r>
      <w:r w:rsidR="000353A4" w:rsidRPr="000353A4">
        <w:t xml:space="preserve"> </w:t>
      </w:r>
      <w:r w:rsidR="000353A4">
        <w:t>and have fallbacks that would not be economically appropriate.</w:t>
      </w:r>
    </w:p>
    <w:p w14:paraId="3CA42D9C" w14:textId="674AA47A" w:rsidR="0098140A" w:rsidRDefault="0098140A" w:rsidP="003200B9">
      <w:pPr>
        <w:pStyle w:val="ListParagraph"/>
        <w:numPr>
          <w:ilvl w:val="0"/>
          <w:numId w:val="1"/>
        </w:numPr>
      </w:pPr>
      <w:r>
        <w:t xml:space="preserve">As the following graph illustrates, </w:t>
      </w:r>
      <w:r w:rsidR="00995AD2">
        <w:t>SOFR will represent a new and potentially significant variation from both LIBOR and CP</w:t>
      </w:r>
      <w:r w:rsidR="000353A4">
        <w:t>.</w:t>
      </w:r>
    </w:p>
    <w:p w14:paraId="6C5F4317" w14:textId="073098CD" w:rsidR="00F07CA1" w:rsidRDefault="00F07CA1" w:rsidP="003200B9">
      <w:pPr>
        <w:pStyle w:val="ListParagraph"/>
        <w:numPr>
          <w:ilvl w:val="0"/>
          <w:numId w:val="1"/>
        </w:numPr>
      </w:pPr>
      <w:r>
        <w:t>SOFR represents actual transactions (about $800 billion daily in the U.S. alone).  In contrast, LIBOR rates are agreed upon daily by a small group of global bankers and thus are subject to manipulation.</w:t>
      </w:r>
    </w:p>
    <w:p w14:paraId="3C5E4778" w14:textId="77777777" w:rsidR="00F07CA1" w:rsidRDefault="00F07CA1" w:rsidP="003200B9">
      <w:pPr>
        <w:pStyle w:val="ListParagraph"/>
        <w:numPr>
          <w:ilvl w:val="0"/>
          <w:numId w:val="1"/>
        </w:numPr>
      </w:pPr>
      <w:r>
        <w:t xml:space="preserve">By their basic nature, SOFR rates will be more volatile than LIBOR.  This will present a timing challenge to corporate cash managers. </w:t>
      </w:r>
    </w:p>
    <w:p w14:paraId="5954042A" w14:textId="6A2DCC97" w:rsidR="00F07CA1" w:rsidRDefault="00F07CA1" w:rsidP="003200B9">
      <w:pPr>
        <w:pStyle w:val="ListParagraph"/>
        <w:numPr>
          <w:ilvl w:val="0"/>
          <w:numId w:val="1"/>
        </w:numPr>
      </w:pPr>
      <w:r>
        <w:t xml:space="preserve">The ARRC is working apace on “adders” and other adjustment mechanisms to adapt SOFR to a LIBOR-like usage and tenor.  </w:t>
      </w:r>
      <w:r w:rsidR="003200B9">
        <w:t>These adjustment mechanisms</w:t>
      </w:r>
      <w:r>
        <w:t xml:space="preserve"> will result in added rate uncertainty</w:t>
      </w:r>
      <w:r w:rsidR="008F081C">
        <w:t>.</w:t>
      </w:r>
    </w:p>
    <w:p w14:paraId="1B6C8BE3" w14:textId="64F71362" w:rsidR="00B313BF" w:rsidRDefault="000353A4" w:rsidP="008F081C">
      <w:pPr>
        <w:jc w:val="center"/>
      </w:pPr>
      <w:r>
        <w:rPr>
          <w:noProof/>
        </w:rPr>
        <w:drawing>
          <wp:inline distT="0" distB="0" distL="0" distR="0" wp14:anchorId="2845EE9C" wp14:editId="5D63DD91">
            <wp:extent cx="4028440" cy="29215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691" cy="2931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CBFB49" w14:textId="77777777" w:rsidR="0015665B" w:rsidRDefault="00995AD2" w:rsidP="00174EB4">
      <w:r w:rsidRPr="0015665B">
        <w:rPr>
          <w:i/>
        </w:rPr>
        <w:t>Source: NY Federal Reserve and FRED</w:t>
      </w:r>
      <w:r w:rsidR="00F07CA1" w:rsidRPr="0015665B">
        <w:rPr>
          <w:i/>
        </w:rPr>
        <w:t xml:space="preserve"> (St. Louis Federal Reserve)</w:t>
      </w:r>
      <w:r w:rsidR="008F081C" w:rsidRPr="0015665B">
        <w:rPr>
          <w:i/>
        </w:rPr>
        <w:t>.</w:t>
      </w:r>
      <w:r w:rsidR="008F081C">
        <w:t xml:space="preserve"> </w:t>
      </w:r>
      <w:r w:rsidR="00DB329C">
        <w:t xml:space="preserve"> </w:t>
      </w:r>
    </w:p>
    <w:p w14:paraId="42A764E5" w14:textId="5B42127C" w:rsidR="00DB329C" w:rsidRDefault="00F07CA1" w:rsidP="00174EB4">
      <w:r>
        <w:t xml:space="preserve">In addition to our ongoing intensive research on SOFR, LIBOR, and commercial paper rates, several of our partners have deep experience in helping to formulate the original </w:t>
      </w:r>
      <w:r w:rsidR="003200B9">
        <w:t>floating rate revolving credit agreements</w:t>
      </w:r>
      <w:r>
        <w:t xml:space="preserve">.  </w:t>
      </w:r>
      <w:r w:rsidR="00650BC9">
        <w:t>We would be pleased to brief you on our thoughts regarding the new SOFR metric.</w:t>
      </w:r>
    </w:p>
    <w:sectPr w:rsidR="00DB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12EBC"/>
    <w:multiLevelType w:val="hybridMultilevel"/>
    <w:tmpl w:val="3BBE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3BF"/>
    <w:rsid w:val="000353A4"/>
    <w:rsid w:val="0006373A"/>
    <w:rsid w:val="0015665B"/>
    <w:rsid w:val="00174EB4"/>
    <w:rsid w:val="001F78E1"/>
    <w:rsid w:val="003200B9"/>
    <w:rsid w:val="00650BC9"/>
    <w:rsid w:val="00896D91"/>
    <w:rsid w:val="008F081C"/>
    <w:rsid w:val="0098140A"/>
    <w:rsid w:val="00995AD2"/>
    <w:rsid w:val="009E1546"/>
    <w:rsid w:val="00A72523"/>
    <w:rsid w:val="00AA22B8"/>
    <w:rsid w:val="00B313BF"/>
    <w:rsid w:val="00C10B7C"/>
    <w:rsid w:val="00C809D0"/>
    <w:rsid w:val="00CA3096"/>
    <w:rsid w:val="00CF00E4"/>
    <w:rsid w:val="00CF4516"/>
    <w:rsid w:val="00D87C2A"/>
    <w:rsid w:val="00DB1A9F"/>
    <w:rsid w:val="00DB329C"/>
    <w:rsid w:val="00E5058D"/>
    <w:rsid w:val="00E869EC"/>
    <w:rsid w:val="00F07CA1"/>
    <w:rsid w:val="00F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C5E2"/>
  <w15:chartTrackingRefBased/>
  <w15:docId w15:val="{86CF6355-7FEC-4D3F-8B5E-821014C3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9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D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4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Garnett</dc:creator>
  <cp:keywords/>
  <dc:description/>
  <cp:lastModifiedBy>Stan Garnett</cp:lastModifiedBy>
  <cp:revision>2</cp:revision>
  <cp:lastPrinted>2018-11-11T22:19:00Z</cp:lastPrinted>
  <dcterms:created xsi:type="dcterms:W3CDTF">2018-12-05T21:41:00Z</dcterms:created>
  <dcterms:modified xsi:type="dcterms:W3CDTF">2018-12-05T21:41:00Z</dcterms:modified>
</cp:coreProperties>
</file>